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BD7BF" w14:textId="14D67635" w:rsidR="00E2484A" w:rsidRPr="00B47DCF" w:rsidRDefault="00E2484A" w:rsidP="00E2484A">
      <w:pPr>
        <w:pStyle w:val="Heading2"/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</w:pPr>
      <w:bookmarkStart w:id="0" w:name="_GoBack"/>
      <w:r w:rsidRPr="00B47DCF"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  <w:t>F5 Networks Configuring BIG-IP ASM v13: Application Security Manager</w:t>
      </w:r>
    </w:p>
    <w:bookmarkEnd w:id="0"/>
    <w:p w14:paraId="02819850" w14:textId="77777777" w:rsidR="00B47DCF" w:rsidRPr="00B47DCF" w:rsidRDefault="00B47DCF" w:rsidP="00B47DCF">
      <w:pPr>
        <w:rPr>
          <w:b/>
          <w:bCs/>
        </w:rPr>
      </w:pPr>
    </w:p>
    <w:p w14:paraId="38209A12" w14:textId="40BCEC5C" w:rsidR="00E2484A" w:rsidRPr="00B47DCF" w:rsidRDefault="00E2484A" w:rsidP="00E2484A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47DCF">
        <w:rPr>
          <w:rFonts w:asciiTheme="minorHAnsi" w:hAnsiTheme="minorHAnsi" w:cstheme="minorHAnsi"/>
          <w:b/>
          <w:bCs/>
          <w:color w:val="auto"/>
          <w:sz w:val="24"/>
          <w:szCs w:val="24"/>
        </w:rPr>
        <w:t>4 days</w:t>
      </w:r>
    </w:p>
    <w:p w14:paraId="55C37CA7" w14:textId="77777777" w:rsidR="00E2484A" w:rsidRPr="00B47DCF" w:rsidRDefault="00E2484A" w:rsidP="00E2484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B47DCF">
        <w:rPr>
          <w:rFonts w:asciiTheme="minorHAnsi" w:hAnsiTheme="minorHAnsi" w:cstheme="minorHAnsi"/>
          <w:color w:val="auto"/>
          <w:sz w:val="24"/>
          <w:szCs w:val="24"/>
        </w:rPr>
        <w:t>Overview</w:t>
      </w:r>
    </w:p>
    <w:p w14:paraId="479203E2" w14:textId="77777777" w:rsidR="00E2484A" w:rsidRPr="00B47DCF" w:rsidRDefault="00E2484A" w:rsidP="00E2484A">
      <w:p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The BIG-IP Application Security Manager course gives participants a functional understanding of how to deploy, tune, and operate BIG-IP Application Security Manager (ASM) to protect their web applications from HTTP-based attacks. The course includes lecture, hands-on labs, and discussion about different ASM components for detecting and mitigating threats from multiple attack vectors such web scraping, Layer 7 Denial of Service, brute force, bots, code injection, and </w:t>
      </w:r>
      <w:proofErr w:type="gramStart"/>
      <w:r w:rsidRPr="00B47DCF">
        <w:rPr>
          <w:rFonts w:cstheme="minorHAnsi"/>
          <w:sz w:val="24"/>
          <w:szCs w:val="24"/>
        </w:rPr>
        <w:t>zero day</w:t>
      </w:r>
      <w:proofErr w:type="gramEnd"/>
      <w:r w:rsidRPr="00B47DCF">
        <w:rPr>
          <w:rFonts w:cstheme="minorHAnsi"/>
          <w:sz w:val="24"/>
          <w:szCs w:val="24"/>
        </w:rPr>
        <w:t xml:space="preserve"> exploits. </w:t>
      </w:r>
    </w:p>
    <w:p w14:paraId="47ABE08C" w14:textId="77777777" w:rsidR="00E2484A" w:rsidRPr="00B47DCF" w:rsidRDefault="00E2484A" w:rsidP="00E2484A">
      <w:pPr>
        <w:rPr>
          <w:rFonts w:eastAsiaTheme="majorEastAsia" w:cstheme="minorHAnsi"/>
          <w:sz w:val="24"/>
          <w:szCs w:val="24"/>
        </w:rPr>
      </w:pPr>
      <w:r w:rsidRPr="00B47DCF">
        <w:rPr>
          <w:rFonts w:eastAsiaTheme="majorEastAsia" w:cstheme="minorHAnsi"/>
          <w:sz w:val="24"/>
          <w:szCs w:val="24"/>
        </w:rPr>
        <w:t>Pre-requisite(s):</w:t>
      </w:r>
    </w:p>
    <w:p w14:paraId="27D246D5" w14:textId="77777777" w:rsidR="00E2484A" w:rsidRPr="00B47DCF" w:rsidRDefault="00E2484A" w:rsidP="00E2484A">
      <w:pPr>
        <w:pStyle w:val="NoSpacing"/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>Administering BIG-IP; basic familiarity with HTTP, HTML and XML; basic web application and security concepts.</w:t>
      </w:r>
    </w:p>
    <w:p w14:paraId="48F42967" w14:textId="77777777" w:rsidR="00E2484A" w:rsidRPr="00B47DCF" w:rsidRDefault="00E2484A" w:rsidP="00E2484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B47DCF">
        <w:rPr>
          <w:rFonts w:asciiTheme="minorHAnsi" w:hAnsiTheme="minorHAnsi" w:cstheme="minorHAnsi"/>
          <w:color w:val="auto"/>
          <w:sz w:val="24"/>
          <w:szCs w:val="24"/>
        </w:rPr>
        <w:t>Audience:</w:t>
      </w:r>
    </w:p>
    <w:p w14:paraId="59E52DF5" w14:textId="77777777" w:rsidR="00E2484A" w:rsidRPr="00B47DCF" w:rsidRDefault="00E2484A" w:rsidP="00E2484A">
      <w:p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>This course is intended for security and network administrators who will be responsible for the installation, deployment, tuning, and day-to-day maintenance of the Application Security Manager.</w:t>
      </w:r>
    </w:p>
    <w:p w14:paraId="4820EC2A" w14:textId="77777777" w:rsidR="00E2484A" w:rsidRPr="00B47DCF" w:rsidRDefault="00E2484A" w:rsidP="00E2484A">
      <w:pPr>
        <w:pStyle w:val="Heading1"/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B47DCF">
        <w:rPr>
          <w:rFonts w:asciiTheme="minorHAnsi" w:hAnsiTheme="minorHAnsi" w:cstheme="minorHAnsi"/>
          <w:color w:val="auto"/>
          <w:sz w:val="24"/>
          <w:szCs w:val="24"/>
        </w:rPr>
        <w:t>Course Outline</w:t>
      </w:r>
    </w:p>
    <w:p w14:paraId="3210F122" w14:textId="77777777" w:rsidR="00E2484A" w:rsidRPr="00B47DCF" w:rsidRDefault="00E2484A" w:rsidP="00E2484A">
      <w:pPr>
        <w:pStyle w:val="Heading2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B47DCF">
        <w:rPr>
          <w:rFonts w:asciiTheme="minorHAnsi" w:hAnsiTheme="minorHAnsi" w:cstheme="minorHAnsi"/>
          <w:color w:val="auto"/>
          <w:sz w:val="24"/>
          <w:szCs w:val="24"/>
        </w:rPr>
        <w:t xml:space="preserve">Module 1: Setting Up the BIG-IP System </w:t>
      </w:r>
      <w:r w:rsidRPr="00B47DCF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</w:p>
    <w:p w14:paraId="4EFF7214" w14:textId="77777777" w:rsidR="00E2484A" w:rsidRPr="00B47DCF" w:rsidRDefault="00E2484A" w:rsidP="00E2484A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Introducing the BIG-IP System </w:t>
      </w:r>
    </w:p>
    <w:p w14:paraId="38C8431B" w14:textId="77777777" w:rsidR="00E2484A" w:rsidRPr="00B47DCF" w:rsidRDefault="00E2484A" w:rsidP="00E2484A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Initially Setting Up the BIG-IP System </w:t>
      </w:r>
    </w:p>
    <w:p w14:paraId="75C3347A" w14:textId="77777777" w:rsidR="00E2484A" w:rsidRPr="00B47DCF" w:rsidRDefault="00E2484A" w:rsidP="00E2484A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Archiving the BIG-IP System Configuration </w:t>
      </w:r>
    </w:p>
    <w:p w14:paraId="5CC12C12" w14:textId="77777777" w:rsidR="00E2484A" w:rsidRPr="00B47DCF" w:rsidRDefault="00E2484A" w:rsidP="00E2484A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Leveraging F5 Support Resources and Tools   </w:t>
      </w:r>
    </w:p>
    <w:p w14:paraId="79C4A333" w14:textId="77777777" w:rsidR="00E2484A" w:rsidRPr="00B47DCF" w:rsidRDefault="00E2484A" w:rsidP="00E2484A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47DCF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Module 2: Traffic Processing with BIG-IP</w:t>
      </w:r>
    </w:p>
    <w:p w14:paraId="07B5D49D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Identifying BIG-IP Traffic Processing Objects </w:t>
      </w:r>
    </w:p>
    <w:p w14:paraId="65AA52E4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Overview of Network Packet Flow </w:t>
      </w:r>
    </w:p>
    <w:p w14:paraId="523AD616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Understanding Profiles </w:t>
      </w:r>
    </w:p>
    <w:p w14:paraId="3633DAFE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Overview of Local Traffic Policies and ASM </w:t>
      </w:r>
    </w:p>
    <w:p w14:paraId="7E65034F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HTTP Request Flow </w:t>
      </w:r>
    </w:p>
    <w:p w14:paraId="043CE105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Chapter Resources   </w:t>
      </w:r>
    </w:p>
    <w:p w14:paraId="2E911EE9" w14:textId="77777777" w:rsidR="00E2484A" w:rsidRPr="00B47DCF" w:rsidRDefault="00E2484A" w:rsidP="00E2484A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47DCF">
        <w:rPr>
          <w:rFonts w:asciiTheme="minorHAnsi" w:hAnsiTheme="minorHAnsi" w:cstheme="minorHAnsi"/>
          <w:color w:val="auto"/>
          <w:sz w:val="24"/>
          <w:szCs w:val="24"/>
        </w:rPr>
        <w:t>Module 3: Web Application Concepts</w:t>
      </w:r>
    </w:p>
    <w:p w14:paraId="105B9CED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Overview of Web Application Request Processing </w:t>
      </w:r>
    </w:p>
    <w:p w14:paraId="259FE021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Web Application Are Vulnerable Even with SSL </w:t>
      </w:r>
    </w:p>
    <w:p w14:paraId="0EB6F646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Layer 7 Protection with Web Application Firewalls </w:t>
      </w:r>
    </w:p>
    <w:p w14:paraId="1C128252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Overview of Web Communication Elements </w:t>
      </w:r>
    </w:p>
    <w:p w14:paraId="0D1E41AF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Parsing URLs </w:t>
      </w:r>
    </w:p>
    <w:p w14:paraId="5CCA8B66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lastRenderedPageBreak/>
        <w:t xml:space="preserve">Overview of the HTTP Request Structure </w:t>
      </w:r>
    </w:p>
    <w:p w14:paraId="6152A411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Method: Perform Actions on a Server </w:t>
      </w:r>
    </w:p>
    <w:p w14:paraId="3A6CFC1D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HTTP Methods ASM Accepts by Default </w:t>
      </w:r>
    </w:p>
    <w:p w14:paraId="0210B982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Comparing POST with GET </w:t>
      </w:r>
    </w:p>
    <w:p w14:paraId="56A962F4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Risks Within Other Methods </w:t>
      </w:r>
    </w:p>
    <w:p w14:paraId="3B46035C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Methods Enforcement for URLs </w:t>
      </w:r>
    </w:p>
    <w:p w14:paraId="07FBAD4D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HTTP Response Codes </w:t>
      </w:r>
    </w:p>
    <w:p w14:paraId="5D342462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Examining HTTP Responses </w:t>
      </w:r>
    </w:p>
    <w:p w14:paraId="3464B365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B47DCF">
        <w:rPr>
          <w:rFonts w:cstheme="minorHAnsi"/>
          <w:sz w:val="24"/>
          <w:szCs w:val="24"/>
        </w:rPr>
        <w:t>HTTPUser</w:t>
      </w:r>
      <w:proofErr w:type="spellEnd"/>
      <w:r w:rsidRPr="00B47DCF">
        <w:rPr>
          <w:rFonts w:cstheme="minorHAnsi"/>
          <w:sz w:val="24"/>
          <w:szCs w:val="24"/>
        </w:rPr>
        <w:t xml:space="preserve"> Input Forms: Free Text Input </w:t>
      </w:r>
    </w:p>
    <w:p w14:paraId="164303D5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User Input Forms: Free Text Input </w:t>
      </w:r>
    </w:p>
    <w:p w14:paraId="23F6C990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How ASM Parses File Types, URLs, and Parameters </w:t>
      </w:r>
    </w:p>
    <w:p w14:paraId="4D9F6238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Using the Fiddler HTTP Proxy </w:t>
      </w:r>
    </w:p>
    <w:p w14:paraId="7687CE10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Chapter Resources   </w:t>
      </w:r>
    </w:p>
    <w:p w14:paraId="52F94634" w14:textId="77777777" w:rsidR="00E2484A" w:rsidRPr="00B47DCF" w:rsidRDefault="00E2484A" w:rsidP="00E2484A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47DCF">
        <w:rPr>
          <w:rFonts w:asciiTheme="minorHAnsi" w:hAnsiTheme="minorHAnsi" w:cstheme="minorHAnsi"/>
          <w:color w:val="auto"/>
          <w:sz w:val="24"/>
          <w:szCs w:val="24"/>
        </w:rPr>
        <w:t>Module 4: Common Web Application Vulnerabilities</w:t>
      </w:r>
    </w:p>
    <w:p w14:paraId="4007259D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>Common Exploits Against Web Applications</w:t>
      </w:r>
    </w:p>
    <w:p w14:paraId="6D3AC103" w14:textId="77777777" w:rsidR="00E2484A" w:rsidRPr="00B47DCF" w:rsidRDefault="00E2484A" w:rsidP="00E2484A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47DCF">
        <w:rPr>
          <w:rFonts w:asciiTheme="minorHAnsi" w:hAnsiTheme="minorHAnsi" w:cstheme="minorHAnsi"/>
          <w:color w:val="auto"/>
          <w:sz w:val="24"/>
          <w:szCs w:val="24"/>
        </w:rPr>
        <w:t>Module 5: Security Policy Deployment</w:t>
      </w:r>
    </w:p>
    <w:p w14:paraId="020B8D26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Comparing Positive and Negative Security Models </w:t>
      </w:r>
    </w:p>
    <w:p w14:paraId="1032A46E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Deployment: Combining Positive and Negative Security </w:t>
      </w:r>
    </w:p>
    <w:p w14:paraId="01DAB73B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The Deployment Workflow </w:t>
      </w:r>
    </w:p>
    <w:p w14:paraId="3EB3FD71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Policy Type: How Will the Policy Be Applied </w:t>
      </w:r>
    </w:p>
    <w:p w14:paraId="1A0EBBEF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Policy Template: Determines the Level of Protection </w:t>
      </w:r>
    </w:p>
    <w:p w14:paraId="424C8F2C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Policy Templates: Automatic or Manual Policy Building </w:t>
      </w:r>
    </w:p>
    <w:p w14:paraId="0E1D728A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Deployment Workflow: Advanced Settings </w:t>
      </w:r>
    </w:p>
    <w:p w14:paraId="1ABFCCA9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Viewing Requests </w:t>
      </w:r>
    </w:p>
    <w:p w14:paraId="4B1B2F88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Security Checks Offered by Rapid Deployment </w:t>
      </w:r>
    </w:p>
    <w:p w14:paraId="6CFB60D3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Response Checks Using Data Guard </w:t>
      </w:r>
    </w:p>
    <w:p w14:paraId="02BE787D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>Chapter Resources</w:t>
      </w:r>
    </w:p>
    <w:p w14:paraId="6021145F" w14:textId="77777777" w:rsidR="00E2484A" w:rsidRPr="00B47DCF" w:rsidRDefault="00E2484A" w:rsidP="00E2484A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47DCF">
        <w:rPr>
          <w:rFonts w:asciiTheme="minorHAnsi" w:hAnsiTheme="minorHAnsi" w:cstheme="minorHAnsi"/>
          <w:color w:val="auto"/>
          <w:sz w:val="24"/>
          <w:szCs w:val="24"/>
        </w:rPr>
        <w:t>Module 6: Policy Tuning and Violations</w:t>
      </w:r>
    </w:p>
    <w:p w14:paraId="70176CDC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Post-Deployment Traffic Processing </w:t>
      </w:r>
    </w:p>
    <w:p w14:paraId="4DB8176D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Violations </w:t>
      </w:r>
    </w:p>
    <w:p w14:paraId="2A6792D5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False Positives </w:t>
      </w:r>
    </w:p>
    <w:p w14:paraId="6278ADE0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How Violations are Categorized </w:t>
      </w:r>
    </w:p>
    <w:p w14:paraId="4AB34291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Violation Rating: A Threat Scale </w:t>
      </w:r>
    </w:p>
    <w:p w14:paraId="5A0D867F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Staging and Enforcement </w:t>
      </w:r>
    </w:p>
    <w:p w14:paraId="53ED9D76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Enforcement Mode </w:t>
      </w:r>
    </w:p>
    <w:p w14:paraId="5DBEA436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the Enforcement Readiness Period </w:t>
      </w:r>
    </w:p>
    <w:p w14:paraId="75AE9E7B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Learning </w:t>
      </w:r>
    </w:p>
    <w:p w14:paraId="4702BFFB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Learning Suggestions </w:t>
      </w:r>
    </w:p>
    <w:p w14:paraId="4F8BDE38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Choosing Automatic or Manual Learning </w:t>
      </w:r>
    </w:p>
    <w:p w14:paraId="43D8E29C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the Learn, Alarm and Block Settings </w:t>
      </w:r>
    </w:p>
    <w:p w14:paraId="727A5376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Interpreting the Enforcement Readiness Summary </w:t>
      </w:r>
    </w:p>
    <w:p w14:paraId="5AD616E4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lastRenderedPageBreak/>
        <w:t xml:space="preserve">Configuring the Blocking Response Page </w:t>
      </w:r>
    </w:p>
    <w:p w14:paraId="62391087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>Chapter Resources</w:t>
      </w:r>
    </w:p>
    <w:p w14:paraId="423BF3DE" w14:textId="77777777" w:rsidR="00E2484A" w:rsidRPr="00B47DCF" w:rsidRDefault="00E2484A" w:rsidP="00E2484A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47DCF">
        <w:rPr>
          <w:rFonts w:asciiTheme="minorHAnsi" w:hAnsiTheme="minorHAnsi" w:cstheme="minorHAnsi"/>
          <w:color w:val="auto"/>
          <w:sz w:val="24"/>
          <w:szCs w:val="24"/>
        </w:rPr>
        <w:t>Module 7: Attack Signatures</w:t>
      </w:r>
    </w:p>
    <w:p w14:paraId="110769E9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Attack Signatures </w:t>
      </w:r>
    </w:p>
    <w:p w14:paraId="6476D673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Creating User-Defined Attack Signatures </w:t>
      </w:r>
    </w:p>
    <w:p w14:paraId="3E0DEC91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Attack Signature Sets </w:t>
      </w:r>
    </w:p>
    <w:p w14:paraId="37395B01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Attack Signature Pools </w:t>
      </w:r>
    </w:p>
    <w:p w14:paraId="2E651785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Updating Attack Signatures </w:t>
      </w:r>
    </w:p>
    <w:p w14:paraId="77442134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Understanding Attack Signatures and Staging </w:t>
      </w:r>
    </w:p>
    <w:p w14:paraId="0BBACA92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>Chapter Resources</w:t>
      </w:r>
    </w:p>
    <w:p w14:paraId="17F9EE20" w14:textId="77777777" w:rsidR="00E2484A" w:rsidRPr="00B47DCF" w:rsidRDefault="00E2484A" w:rsidP="00E2484A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47DCF">
        <w:rPr>
          <w:rFonts w:asciiTheme="minorHAnsi" w:hAnsiTheme="minorHAnsi" w:cstheme="minorHAnsi"/>
          <w:color w:val="auto"/>
          <w:sz w:val="24"/>
          <w:szCs w:val="24"/>
        </w:rPr>
        <w:t>Module 8: Positive Security Policy Building</w:t>
      </w:r>
    </w:p>
    <w:p w14:paraId="6A31061B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Security Policy Components </w:t>
      </w:r>
    </w:p>
    <w:p w14:paraId="75C43AC2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the Wildcard </w:t>
      </w:r>
    </w:p>
    <w:p w14:paraId="040F1579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The Entity Staging Lifecycle </w:t>
      </w:r>
    </w:p>
    <w:p w14:paraId="51B77323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Choosing the Learning Scheme </w:t>
      </w:r>
    </w:p>
    <w:p w14:paraId="05C8D7B1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How to Learn: Never (Wildcard Only) </w:t>
      </w:r>
    </w:p>
    <w:p w14:paraId="050749D7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How to Learn: Always </w:t>
      </w:r>
    </w:p>
    <w:p w14:paraId="03A87ADA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How to Learn: Selective </w:t>
      </w:r>
    </w:p>
    <w:p w14:paraId="717DA415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Reviewing the Enforcement Readiness Period: Entities </w:t>
      </w:r>
    </w:p>
    <w:p w14:paraId="7C0C9DE1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Violations Without Learning Suggestions </w:t>
      </w:r>
    </w:p>
    <w:p w14:paraId="0B11C271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the Learning Score </w:t>
      </w:r>
    </w:p>
    <w:p w14:paraId="435D2CB6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Trusted and Untrusted IP Addresses </w:t>
      </w:r>
    </w:p>
    <w:p w14:paraId="68891CC7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How to Learn: Compact </w:t>
      </w:r>
    </w:p>
    <w:p w14:paraId="6F21F640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>Chapter Resources</w:t>
      </w:r>
    </w:p>
    <w:p w14:paraId="04F0EE0A" w14:textId="77777777" w:rsidR="00E2484A" w:rsidRPr="00B47DCF" w:rsidRDefault="00E2484A" w:rsidP="00E2484A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47DCF">
        <w:rPr>
          <w:rFonts w:asciiTheme="minorHAnsi" w:hAnsiTheme="minorHAnsi" w:cstheme="minorHAnsi"/>
          <w:color w:val="auto"/>
          <w:sz w:val="24"/>
          <w:szCs w:val="24"/>
        </w:rPr>
        <w:t>Module 9: Cookies and Other Headers</w:t>
      </w:r>
    </w:p>
    <w:p w14:paraId="29E8A19E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ASM Cookies: What to Enforce </w:t>
      </w:r>
    </w:p>
    <w:p w14:paraId="5C8CF5C6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Allowed and Enforced Cookies </w:t>
      </w:r>
    </w:p>
    <w:p w14:paraId="26BDA2CB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Configuring Security Processing on HTTP headers </w:t>
      </w:r>
    </w:p>
    <w:p w14:paraId="541B14DF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>Chapter Resources</w:t>
      </w:r>
    </w:p>
    <w:p w14:paraId="2DFC81A9" w14:textId="77777777" w:rsidR="00E2484A" w:rsidRPr="00B47DCF" w:rsidRDefault="00E2484A" w:rsidP="00E2484A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47DCF">
        <w:rPr>
          <w:rFonts w:asciiTheme="minorHAnsi" w:hAnsiTheme="minorHAnsi" w:cstheme="minorHAnsi"/>
          <w:color w:val="auto"/>
          <w:sz w:val="24"/>
          <w:szCs w:val="24"/>
        </w:rPr>
        <w:t>Module 10: Reporting and Logging</w:t>
      </w:r>
    </w:p>
    <w:p w14:paraId="4B06F148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Reporting: Build Your Own View </w:t>
      </w:r>
    </w:p>
    <w:p w14:paraId="64633C88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Reporting: Chart based on filters </w:t>
      </w:r>
    </w:p>
    <w:p w14:paraId="4E162464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Brute Force and Web Scraping Statistics </w:t>
      </w:r>
    </w:p>
    <w:p w14:paraId="427EFB40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Viewing ASM Resource Reports </w:t>
      </w:r>
    </w:p>
    <w:p w14:paraId="1C79A7CF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PCI Compliance: PCI-DSS 3.0 </w:t>
      </w:r>
    </w:p>
    <w:p w14:paraId="022776B6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Generating a Security Events Report </w:t>
      </w:r>
    </w:p>
    <w:p w14:paraId="3F01D4AC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Viewing Traffic Learning Graphs </w:t>
      </w:r>
    </w:p>
    <w:p w14:paraId="444898F0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Local Logging Facilities and Destinations </w:t>
      </w:r>
    </w:p>
    <w:p w14:paraId="3020007C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Viewing Logs in the Configuration Utility </w:t>
      </w:r>
    </w:p>
    <w:p w14:paraId="56BF71F5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Logging Profiles: Build What You Need </w:t>
      </w:r>
    </w:p>
    <w:p w14:paraId="0983A6D7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>Chapter Resources</w:t>
      </w:r>
    </w:p>
    <w:p w14:paraId="4B454CEF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lastRenderedPageBreak/>
        <w:t xml:space="preserve">Login Enforcement: Time and Logout Conditions </w:t>
      </w:r>
    </w:p>
    <w:p w14:paraId="3CA5441E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Session Tracking </w:t>
      </w:r>
    </w:p>
    <w:p w14:paraId="2B32FDD4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Configuring Actions Upon Violation Detection </w:t>
      </w:r>
    </w:p>
    <w:p w14:paraId="5E407A11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Session Hijacking Mitigation </w:t>
      </w:r>
    </w:p>
    <w:p w14:paraId="6A97C606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Why Fingerprint A Client </w:t>
      </w:r>
    </w:p>
    <w:p w14:paraId="5B94CAF1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>Chapter Resources</w:t>
      </w:r>
    </w:p>
    <w:p w14:paraId="763A5591" w14:textId="77777777" w:rsidR="00E2484A" w:rsidRPr="00B47DCF" w:rsidRDefault="00E2484A" w:rsidP="00E2484A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47DCF">
        <w:rPr>
          <w:rFonts w:asciiTheme="minorHAnsi" w:hAnsiTheme="minorHAnsi" w:cstheme="minorHAnsi"/>
          <w:color w:val="auto"/>
          <w:sz w:val="24"/>
          <w:szCs w:val="24"/>
        </w:rPr>
        <w:t>Module 18: Brute Force and Web Scraping Mitigation</w:t>
      </w:r>
    </w:p>
    <w:p w14:paraId="36F18999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Anomalies </w:t>
      </w:r>
    </w:p>
    <w:p w14:paraId="6B38780A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Mitigating Brute Force Attacks via Login Page </w:t>
      </w:r>
    </w:p>
    <w:p w14:paraId="70620015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Session-Based Brute Force Protection </w:t>
      </w:r>
    </w:p>
    <w:p w14:paraId="7AAA078F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Dynamic Brute Force Protection </w:t>
      </w:r>
    </w:p>
    <w:p w14:paraId="67F0E25F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the Prevention Policy </w:t>
      </w:r>
    </w:p>
    <w:p w14:paraId="1F29463B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Web Scraping </w:t>
      </w:r>
    </w:p>
    <w:p w14:paraId="0D78189B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Geolocation Enforcement </w:t>
      </w:r>
    </w:p>
    <w:p w14:paraId="5354BD9C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Configuring IP Address Exceptions </w:t>
      </w:r>
    </w:p>
    <w:p w14:paraId="74FAF890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>Chapter Resources</w:t>
      </w:r>
    </w:p>
    <w:p w14:paraId="5B1EA5EB" w14:textId="77777777" w:rsidR="00E2484A" w:rsidRPr="00B47DCF" w:rsidRDefault="00E2484A" w:rsidP="00E2484A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47DCF">
        <w:rPr>
          <w:rFonts w:asciiTheme="minorHAnsi" w:hAnsiTheme="minorHAnsi" w:cstheme="minorHAnsi"/>
          <w:color w:val="auto"/>
          <w:sz w:val="24"/>
          <w:szCs w:val="24"/>
        </w:rPr>
        <w:t>Module 19: Layered Policies</w:t>
      </w:r>
    </w:p>
    <w:p w14:paraId="41D02115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a Parent Policy </w:t>
      </w:r>
    </w:p>
    <w:p w14:paraId="6891EE01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Inheritance </w:t>
      </w:r>
    </w:p>
    <w:p w14:paraId="4164923A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Parent Policy Deployment Use Cases </w:t>
      </w:r>
    </w:p>
    <w:p w14:paraId="4A4A8A32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>Chapter Resources</w:t>
      </w:r>
    </w:p>
    <w:p w14:paraId="28A472D0" w14:textId="77777777" w:rsidR="00E2484A" w:rsidRPr="00B47DCF" w:rsidRDefault="00E2484A" w:rsidP="00E2484A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47DCF">
        <w:rPr>
          <w:rFonts w:asciiTheme="minorHAnsi" w:hAnsiTheme="minorHAnsi" w:cstheme="minorHAnsi"/>
          <w:color w:val="auto"/>
          <w:sz w:val="24"/>
          <w:szCs w:val="24"/>
        </w:rPr>
        <w:t>Module 20: Layer 7 DoS mitigation</w:t>
      </w:r>
    </w:p>
    <w:p w14:paraId="47D55673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Denial of Service Attacks </w:t>
      </w:r>
    </w:p>
    <w:p w14:paraId="5E625F27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DoS Profile General Settings </w:t>
      </w:r>
    </w:p>
    <w:p w14:paraId="7EE95227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Proactive Bot Defense </w:t>
      </w:r>
    </w:p>
    <w:p w14:paraId="58018D17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Using Bot Signatures </w:t>
      </w:r>
    </w:p>
    <w:p w14:paraId="4E8E8CFD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TPS-based DoS Protection </w:t>
      </w:r>
    </w:p>
    <w:p w14:paraId="4DC39363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Operation Mode </w:t>
      </w:r>
    </w:p>
    <w:p w14:paraId="62FA0FC2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Mitigation Methods </w:t>
      </w:r>
    </w:p>
    <w:p w14:paraId="2E3B7AAA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Behavioral and Stress-Based Detection </w:t>
      </w:r>
    </w:p>
    <w:p w14:paraId="3ADDA8E5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Behavioral DoS </w:t>
      </w:r>
    </w:p>
    <w:p w14:paraId="64A52A90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>Chapter Resources</w:t>
      </w:r>
    </w:p>
    <w:p w14:paraId="2F5EBA31" w14:textId="77777777" w:rsidR="00E2484A" w:rsidRPr="00B47DCF" w:rsidRDefault="00E2484A" w:rsidP="00E2484A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47DCF">
        <w:rPr>
          <w:rFonts w:asciiTheme="minorHAnsi" w:hAnsiTheme="minorHAnsi" w:cstheme="minorHAnsi"/>
          <w:color w:val="auto"/>
          <w:sz w:val="24"/>
          <w:szCs w:val="24"/>
        </w:rPr>
        <w:t xml:space="preserve">Module 21: ASM and </w:t>
      </w:r>
      <w:proofErr w:type="spellStart"/>
      <w:r w:rsidRPr="00B47DCF">
        <w:rPr>
          <w:rFonts w:asciiTheme="minorHAnsi" w:hAnsiTheme="minorHAnsi" w:cstheme="minorHAnsi"/>
          <w:color w:val="auto"/>
          <w:sz w:val="24"/>
          <w:szCs w:val="24"/>
        </w:rPr>
        <w:t>iRules</w:t>
      </w:r>
      <w:proofErr w:type="spellEnd"/>
    </w:p>
    <w:p w14:paraId="6019C882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Common Uses for </w:t>
      </w:r>
      <w:proofErr w:type="spellStart"/>
      <w:r w:rsidRPr="00B47DCF">
        <w:rPr>
          <w:rFonts w:cstheme="minorHAnsi"/>
          <w:sz w:val="24"/>
          <w:szCs w:val="24"/>
        </w:rPr>
        <w:t>iRules</w:t>
      </w:r>
      <w:proofErr w:type="spellEnd"/>
      <w:r w:rsidRPr="00B47DCF">
        <w:rPr>
          <w:rFonts w:cstheme="minorHAnsi"/>
          <w:sz w:val="24"/>
          <w:szCs w:val="24"/>
        </w:rPr>
        <w:t xml:space="preserve"> </w:t>
      </w:r>
    </w:p>
    <w:p w14:paraId="582E13D8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Identifying </w:t>
      </w:r>
      <w:proofErr w:type="spellStart"/>
      <w:r w:rsidRPr="00B47DCF">
        <w:rPr>
          <w:rFonts w:cstheme="minorHAnsi"/>
          <w:sz w:val="24"/>
          <w:szCs w:val="24"/>
        </w:rPr>
        <w:t>iRule</w:t>
      </w:r>
      <w:proofErr w:type="spellEnd"/>
      <w:r w:rsidRPr="00B47DCF">
        <w:rPr>
          <w:rFonts w:cstheme="minorHAnsi"/>
          <w:sz w:val="24"/>
          <w:szCs w:val="24"/>
        </w:rPr>
        <w:t xml:space="preserve"> Components </w:t>
      </w:r>
    </w:p>
    <w:p w14:paraId="7ABC1F88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Triggering </w:t>
      </w:r>
      <w:proofErr w:type="spellStart"/>
      <w:r w:rsidRPr="00B47DCF">
        <w:rPr>
          <w:rFonts w:cstheme="minorHAnsi"/>
          <w:sz w:val="24"/>
          <w:szCs w:val="24"/>
        </w:rPr>
        <w:t>iRules</w:t>
      </w:r>
      <w:proofErr w:type="spellEnd"/>
      <w:r w:rsidRPr="00B47DCF">
        <w:rPr>
          <w:rFonts w:cstheme="minorHAnsi"/>
          <w:sz w:val="24"/>
          <w:szCs w:val="24"/>
        </w:rPr>
        <w:t xml:space="preserve"> with Events </w:t>
      </w:r>
    </w:p>
    <w:p w14:paraId="1E128AFC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ASM </w:t>
      </w:r>
      <w:proofErr w:type="spellStart"/>
      <w:r w:rsidRPr="00B47DCF">
        <w:rPr>
          <w:rFonts w:cstheme="minorHAnsi"/>
          <w:sz w:val="24"/>
          <w:szCs w:val="24"/>
        </w:rPr>
        <w:t>iRule</w:t>
      </w:r>
      <w:proofErr w:type="spellEnd"/>
      <w:r w:rsidRPr="00B47DCF">
        <w:rPr>
          <w:rFonts w:cstheme="minorHAnsi"/>
          <w:sz w:val="24"/>
          <w:szCs w:val="24"/>
        </w:rPr>
        <w:t xml:space="preserve"> Events </w:t>
      </w:r>
    </w:p>
    <w:p w14:paraId="486AB2A6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ASM </w:t>
      </w:r>
      <w:proofErr w:type="spellStart"/>
      <w:r w:rsidRPr="00B47DCF">
        <w:rPr>
          <w:rFonts w:cstheme="minorHAnsi"/>
          <w:sz w:val="24"/>
          <w:szCs w:val="24"/>
        </w:rPr>
        <w:t>iRule</w:t>
      </w:r>
      <w:proofErr w:type="spellEnd"/>
      <w:r w:rsidRPr="00B47DCF">
        <w:rPr>
          <w:rFonts w:cstheme="minorHAnsi"/>
          <w:sz w:val="24"/>
          <w:szCs w:val="24"/>
        </w:rPr>
        <w:t xml:space="preserve"> Commands </w:t>
      </w:r>
    </w:p>
    <w:p w14:paraId="4054609F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Using ASM </w:t>
      </w:r>
      <w:proofErr w:type="spellStart"/>
      <w:r w:rsidRPr="00B47DCF">
        <w:rPr>
          <w:rFonts w:cstheme="minorHAnsi"/>
          <w:sz w:val="24"/>
          <w:szCs w:val="24"/>
        </w:rPr>
        <w:t>iRule</w:t>
      </w:r>
      <w:proofErr w:type="spellEnd"/>
      <w:r w:rsidRPr="00B47DCF">
        <w:rPr>
          <w:rFonts w:cstheme="minorHAnsi"/>
          <w:sz w:val="24"/>
          <w:szCs w:val="24"/>
        </w:rPr>
        <w:t xml:space="preserve"> Event Modes </w:t>
      </w:r>
    </w:p>
    <w:p w14:paraId="000B9732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>Chapter Resources</w:t>
      </w:r>
    </w:p>
    <w:p w14:paraId="57B40E10" w14:textId="77777777" w:rsidR="00E2484A" w:rsidRPr="00B47DCF" w:rsidRDefault="00E2484A" w:rsidP="00E2484A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47DCF">
        <w:rPr>
          <w:rFonts w:asciiTheme="minorHAnsi" w:hAnsiTheme="minorHAnsi" w:cstheme="minorHAnsi"/>
          <w:color w:val="auto"/>
          <w:sz w:val="24"/>
          <w:szCs w:val="24"/>
        </w:rPr>
        <w:lastRenderedPageBreak/>
        <w:t>Module 22: Content Profiles</w:t>
      </w:r>
    </w:p>
    <w:p w14:paraId="318C5ECC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Asynchronous JavaScript and XML </w:t>
      </w:r>
    </w:p>
    <w:p w14:paraId="711D7732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JavaScript Object Notation (JSON) </w:t>
      </w:r>
    </w:p>
    <w:p w14:paraId="214CEAAF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Defining Content Profiles </w:t>
      </w:r>
    </w:p>
    <w:p w14:paraId="1ED4096D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The Order of Operations for URL Classification </w:t>
      </w:r>
    </w:p>
    <w:p w14:paraId="477A69DF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>Chapter Resources</w:t>
      </w:r>
    </w:p>
    <w:p w14:paraId="3E3C7098" w14:textId="77777777" w:rsidR="00E2484A" w:rsidRPr="00B47DCF" w:rsidRDefault="00E2484A" w:rsidP="00E2484A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47DCF">
        <w:rPr>
          <w:rFonts w:asciiTheme="minorHAnsi" w:hAnsiTheme="minorHAnsi" w:cstheme="minorHAnsi"/>
          <w:color w:val="auto"/>
          <w:sz w:val="24"/>
          <w:szCs w:val="24"/>
        </w:rPr>
        <w:t>Module 23: Review and Final Labs</w:t>
      </w:r>
    </w:p>
    <w:p w14:paraId="2FB8563B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Course Review Questions </w:t>
      </w:r>
    </w:p>
    <w:p w14:paraId="4DD0D532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>Answers to Review Questions</w:t>
      </w:r>
    </w:p>
    <w:p w14:paraId="5F8FCF1B" w14:textId="77777777" w:rsidR="00E2484A" w:rsidRPr="00B47DCF" w:rsidRDefault="00E2484A" w:rsidP="00E2484A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47DCF">
        <w:rPr>
          <w:rFonts w:asciiTheme="minorHAnsi" w:hAnsiTheme="minorHAnsi" w:cstheme="minorHAnsi"/>
          <w:color w:val="auto"/>
          <w:sz w:val="24"/>
          <w:szCs w:val="24"/>
        </w:rPr>
        <w:t>Module 24: Additional Training and Certification</w:t>
      </w:r>
    </w:p>
    <w:p w14:paraId="2B0926E3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Getting Started Series Web-Based Training </w:t>
      </w:r>
    </w:p>
    <w:p w14:paraId="19259168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 xml:space="preserve">F5 Instructor Led Training Curriculum </w:t>
      </w:r>
    </w:p>
    <w:p w14:paraId="51480C6F" w14:textId="77777777" w:rsidR="00E2484A" w:rsidRPr="00B47DCF" w:rsidRDefault="00E2484A" w:rsidP="00E2484A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DCF">
        <w:rPr>
          <w:rFonts w:cstheme="minorHAnsi"/>
          <w:sz w:val="24"/>
          <w:szCs w:val="24"/>
        </w:rPr>
        <w:t>F5 Professional Certification Program</w:t>
      </w:r>
    </w:p>
    <w:p w14:paraId="0DFD480C" w14:textId="77777777" w:rsidR="000175E8" w:rsidRPr="00B47DCF" w:rsidRDefault="00B47DCF">
      <w:pPr>
        <w:rPr>
          <w:rFonts w:cstheme="minorHAnsi"/>
          <w:sz w:val="24"/>
          <w:szCs w:val="24"/>
        </w:rPr>
      </w:pPr>
    </w:p>
    <w:sectPr w:rsidR="000175E8" w:rsidRPr="00B47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94681"/>
    <w:multiLevelType w:val="hybridMultilevel"/>
    <w:tmpl w:val="0628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2118D"/>
    <w:multiLevelType w:val="hybridMultilevel"/>
    <w:tmpl w:val="E9B2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4A"/>
    <w:rsid w:val="007B4A92"/>
    <w:rsid w:val="00B47DCF"/>
    <w:rsid w:val="00BA7696"/>
    <w:rsid w:val="00E2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D5EA"/>
  <w15:chartTrackingRefBased/>
  <w15:docId w15:val="{C3F316FC-D03F-4EF8-A869-269B0D67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2484A"/>
  </w:style>
  <w:style w:type="paragraph" w:styleId="Heading1">
    <w:name w:val="heading 1"/>
    <w:basedOn w:val="Normal"/>
    <w:next w:val="Normal"/>
    <w:link w:val="Heading1Char"/>
    <w:uiPriority w:val="9"/>
    <w:qFormat/>
    <w:rsid w:val="00E24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8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48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E24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2019-09-20T19:03:00Z</dcterms:created>
  <dcterms:modified xsi:type="dcterms:W3CDTF">2019-09-20T19:03:00Z</dcterms:modified>
</cp:coreProperties>
</file>